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A1B" w14:textId="467D7FE5" w:rsidR="00DF142C" w:rsidRDefault="00A51444" w:rsidP="00A51444">
      <w:pPr>
        <w:spacing w:after="0"/>
        <w:ind w:left="5954"/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  <w:r w:rsidRPr="00A51444"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З</w:t>
      </w:r>
      <w:r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АТВЕРДЖЕНО</w:t>
      </w:r>
    </w:p>
    <w:p w14:paraId="10FFC026" w14:textId="77777777" w:rsidR="00984183" w:rsidRPr="00A51444" w:rsidRDefault="00984183" w:rsidP="00A51444">
      <w:pPr>
        <w:spacing w:after="0"/>
        <w:ind w:left="5954"/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</w:p>
    <w:p w14:paraId="1F821422" w14:textId="3B146513" w:rsidR="00A51444" w:rsidRPr="00984183" w:rsidRDefault="00984183" w:rsidP="00A51444">
      <w:pPr>
        <w:spacing w:after="0"/>
        <w:ind w:left="5954"/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наказом</w:t>
      </w:r>
    </w:p>
    <w:p w14:paraId="75698028" w14:textId="15560171" w:rsidR="00A51444" w:rsidRPr="00A51444" w:rsidRDefault="00A51444" w:rsidP="00A51444">
      <w:pPr>
        <w:spacing w:after="0"/>
        <w:ind w:left="5954"/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  <w:r w:rsidRPr="00A51444"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АТ «ЧЕРКАСИОБЛЕНЕРГО»</w:t>
      </w:r>
    </w:p>
    <w:p w14:paraId="112C444E" w14:textId="57FA8173" w:rsidR="00A51444" w:rsidRPr="00A51444" w:rsidRDefault="00A51444" w:rsidP="00A51444">
      <w:pPr>
        <w:ind w:left="5954"/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 xml:space="preserve">від </w:t>
      </w:r>
      <w:r w:rsidR="00D433A2"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 xml:space="preserve">20.05.2026 </w:t>
      </w:r>
      <w:r w:rsidR="00984183"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№</w:t>
      </w:r>
      <w:r w:rsidR="00D433A2"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  <w:t>359</w:t>
      </w:r>
    </w:p>
    <w:p w14:paraId="77C65732" w14:textId="77777777" w:rsidR="00A51444" w:rsidRPr="00A51444" w:rsidRDefault="00A51444">
      <w:pPr>
        <w:rPr>
          <w:rFonts w:ascii="Times New Roman" w:eastAsia="Times New Roman" w:hAnsi="Times New Roman" w:cs="Times New Roman"/>
          <w:color w:val="000000"/>
          <w:kern w:val="0"/>
          <w:lang w:eastAsia="uk-UA" w:bidi="uk-UA"/>
          <w14:ligatures w14:val="none"/>
        </w:rPr>
      </w:pPr>
    </w:p>
    <w:p w14:paraId="1D1907B5" w14:textId="32DE278D" w:rsidR="00A51444" w:rsidRDefault="00A51444" w:rsidP="00A5144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 w:rsidRPr="00A514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uk-UA"/>
          <w14:ligatures w14:val="none"/>
        </w:rPr>
        <w:t>По</w:t>
      </w:r>
      <w:r w:rsidR="004A71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uk-UA"/>
          <w14:ligatures w14:val="none"/>
        </w:rPr>
        <w:t>рядок</w:t>
      </w:r>
    </w:p>
    <w:p w14:paraId="5EF3B45C" w14:textId="6224F6C7" w:rsidR="00A51444" w:rsidRDefault="00A51444" w:rsidP="00A5144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 w:rsidRPr="00A5144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роботи робочої групи  з підготовки оцінк</w:t>
      </w:r>
      <w:r w:rsidR="007E1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и</w:t>
      </w:r>
      <w:r w:rsidRPr="00A5144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 xml:space="preserve"> потенціалу енергоефективності </w:t>
      </w:r>
      <w:r w:rsidR="0098418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br/>
      </w:r>
      <w:r w:rsidRPr="00A5144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АТ «ЧЕРКАСИОБЛЕНЕРГО»</w:t>
      </w:r>
    </w:p>
    <w:p w14:paraId="71EB58D8" w14:textId="77777777" w:rsidR="004C28AC" w:rsidRPr="00A51444" w:rsidRDefault="004C28AC" w:rsidP="00A5144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</w:p>
    <w:p w14:paraId="3D374B0F" w14:textId="69527791" w:rsidR="00A51444" w:rsidRDefault="00A51444" w:rsidP="004C28AC">
      <w:pPr>
        <w:pStyle w:val="a9"/>
        <w:numPr>
          <w:ilvl w:val="0"/>
          <w:numId w:val="1"/>
        </w:numPr>
        <w:ind w:left="1077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 w:rsidRPr="00F4746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Загальні положення</w:t>
      </w:r>
    </w:p>
    <w:p w14:paraId="3EC4D066" w14:textId="544147B1" w:rsidR="00750308" w:rsidRDefault="00F47469" w:rsidP="0096455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1. </w:t>
      </w:r>
      <w:r w:rsidR="0075030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750308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Це</w:t>
      </w:r>
      <w:r w:rsidR="004A718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й</w:t>
      </w:r>
      <w:r w:rsidR="00750308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4A718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Порядок</w:t>
      </w:r>
      <w:r w:rsidR="0075030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розроблен</w:t>
      </w:r>
      <w:r w:rsidR="00984183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ий</w:t>
      </w:r>
      <w:r w:rsidR="0075030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на основі Методи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к</w:t>
      </w:r>
      <w:r w:rsidR="0075030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и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5A1DC7" w:rsidRP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оцінки потенціалу енергоефективності газотранспортної системи, системи передачі електричної енергії, газорозподільної системи, системи розподілу електричної енергії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затверджен</w:t>
      </w:r>
      <w:r w:rsidR="00984183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ої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5A1DC7" w:rsidRP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Наказ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ом</w:t>
      </w:r>
      <w:r w:rsidR="005A1DC7" w:rsidRP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Міністерства енергетики України 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від </w:t>
      </w:r>
      <w:r w:rsidR="005A1DC7" w:rsidRP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07 жовтня 2025 року № 404</w:t>
      </w:r>
      <w:r w:rsidR="003741F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(далі – Методика)</w:t>
      </w:r>
      <w:r w:rsidR="005A1D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.</w:t>
      </w:r>
    </w:p>
    <w:p w14:paraId="14880E65" w14:textId="5BB80B38" w:rsidR="00F47469" w:rsidRPr="00F739C7" w:rsidRDefault="00750308" w:rsidP="00026087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2. </w:t>
      </w:r>
      <w:r w:rsidR="00F47469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Це</w:t>
      </w:r>
      <w:r w:rsidR="004A718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й</w:t>
      </w:r>
      <w:r w:rsidR="00F47469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4A718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Порядок</w:t>
      </w:r>
      <w:r w:rsidR="00F47469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встановлює вимоги до</w:t>
      </w:r>
      <w:r w:rsidR="00BB76CD" w:rsidRP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BB76CD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організації підготовки оцінки потенціалу енергоефективності АТ «ЧЕРКАСИОБЛЕНЕРГО» (далі </w:t>
      </w:r>
      <w:r w:rsidR="00C50375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–</w:t>
      </w:r>
      <w:r w:rsidR="00BB76CD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C50375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</w:t>
      </w:r>
      <w:r w:rsidR="00BB76CD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цінк</w:t>
      </w:r>
      <w:r w:rsidR="00C50375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 </w:t>
      </w:r>
      <w:r w:rsidR="00C50375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потенціалу енергоефективності</w:t>
      </w:r>
      <w:r w:rsidR="00BB76CD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)</w:t>
      </w:r>
      <w:r w:rsid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, 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яка проводиться </w:t>
      </w:r>
      <w:r w:rsidR="00026087" w:rsidRP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робочо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ю</w:t>
      </w:r>
      <w:r w:rsidR="00026087" w:rsidRP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груп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ою</w:t>
      </w:r>
      <w:r w:rsidR="00026087" w:rsidRP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 з підготовки оцінки потенціалу енергоефективності АТ «ЧЕРКАСИОБЛЕНЕРГО»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(далі – робоча група). Підготовка оцінки </w:t>
      </w:r>
      <w:r w:rsid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026087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потенціалу енергоефективності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складається </w:t>
      </w:r>
      <w:r w:rsidR="00BB76CD" w:rsidRP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 таких етапів</w:t>
      </w:r>
      <w:r w:rsidR="00F47469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:</w:t>
      </w:r>
    </w:p>
    <w:p w14:paraId="1C89B7DA" w14:textId="16E61FFC" w:rsidR="00F47469" w:rsidRPr="00F739C7" w:rsidRDefault="00F47469" w:rsidP="009645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1)</w:t>
      </w:r>
      <w:r w:rsidR="00BB76CD" w:rsidRP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збір даних</w:t>
      </w:r>
      <w:r w:rsidR="00BB76CD"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6EA5D562" w14:textId="77777777" w:rsidR="00BB76CD" w:rsidRPr="001847F7" w:rsidRDefault="00F47469" w:rsidP="009645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F739C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2) </w:t>
      </w:r>
      <w:r w:rsidR="00BB76CD" w:rsidRPr="00BB76CD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 </w:t>
      </w:r>
      <w:r w:rsidR="00BB76CD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зібраних даних;</w:t>
      </w:r>
    </w:p>
    <w:p w14:paraId="00D2D911" w14:textId="544BB5FF" w:rsidR="00BB76CD" w:rsidRPr="001847F7" w:rsidRDefault="00BB76CD" w:rsidP="0096455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3) розроблення 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цінки потенціалу енергоефективності та її затвердження. </w:t>
      </w:r>
    </w:p>
    <w:p w14:paraId="6F405B79" w14:textId="068CE948" w:rsidR="00E330B3" w:rsidRPr="001847F7" w:rsidRDefault="00E330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Метою 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цінки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потенціалу енергоефективності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є планування найбільш економічно ефективних заходів з підвищення енергоефективності АТ «ЧЕРКАСИОБЛЕНЕРГО» (далі – 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Товариство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), що зменшують обсяг використання енергетичних ресурсів при розподілі електричної енергії та дозволяють досягти цільових показників зменшення використання енергетичних ресурсів при розподілі електричної енергії. </w:t>
      </w:r>
    </w:p>
    <w:p w14:paraId="1064D017" w14:textId="78851BF6" w:rsidR="00E330B3" w:rsidRPr="001847F7" w:rsidRDefault="002405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При проведенні 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цінки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потенціалу енергоефективності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та  формуванні інвестиційних програм необхідно </w:t>
      </w:r>
      <w:r w:rsidR="00E330B3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надавати перевагу економічно доцільним енергоефективним заходам, які зменшують попит на енергію.</w:t>
      </w:r>
    </w:p>
    <w:p w14:paraId="068FCAAA" w14:textId="6DCF5A2F" w:rsidR="00E330B3" w:rsidRPr="001847F7" w:rsidRDefault="00E330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З метою обґрунтованого прийняття рішень щодо вибору енергоефективних заходів, </w:t>
      </w:r>
      <w:r w:rsidR="002405B3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необхідно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керуватися чітко визначеними критеріями економічної доцільності, які включають:</w:t>
      </w:r>
    </w:p>
    <w:p w14:paraId="555E9A19" w14:textId="7BA753CF" w:rsidR="00E330B3" w:rsidRPr="001847F7" w:rsidRDefault="00E330B3" w:rsidP="00964551">
      <w:pPr>
        <w:pStyle w:val="a9"/>
        <w:numPr>
          <w:ilvl w:val="0"/>
          <w:numId w:val="4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вартісну ефективність - співвідношення витрат на реалізацію заходу та очікуваної економії енергії, що виражається у вартості за одиницю зекономленої енергії (наприклад, грн/кВт·год);</w:t>
      </w:r>
    </w:p>
    <w:p w14:paraId="294A8FB8" w14:textId="77777777" w:rsidR="00E330B3" w:rsidRPr="001847F7" w:rsidRDefault="00E330B3" w:rsidP="00964551">
      <w:pPr>
        <w:pStyle w:val="a9"/>
        <w:numPr>
          <w:ilvl w:val="0"/>
          <w:numId w:val="4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рівень окупності інвестицій - період, за який інвестиції в енергоефективний захід окупаються за рахунок зниження витрат на енергію;</w:t>
      </w:r>
    </w:p>
    <w:p w14:paraId="2C784922" w14:textId="77777777" w:rsidR="00E330B3" w:rsidRPr="001847F7" w:rsidRDefault="00E330B3" w:rsidP="00964551">
      <w:pPr>
        <w:pStyle w:val="a9"/>
        <w:numPr>
          <w:ilvl w:val="0"/>
          <w:numId w:val="4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технічну здійсненність - відповідність технічних рішень, що пропонуються, існуючій інфраструктурі та можливостям її модернізації;</w:t>
      </w:r>
    </w:p>
    <w:p w14:paraId="1D9A552D" w14:textId="5B835879" w:rsidR="00E330B3" w:rsidRPr="001847F7" w:rsidRDefault="00E330B3" w:rsidP="00964551">
      <w:pPr>
        <w:pStyle w:val="a9"/>
        <w:numPr>
          <w:ilvl w:val="0"/>
          <w:numId w:val="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економічний ефект - загальний вплив заходу на економіку </w:t>
      </w:r>
      <w:r w:rsidR="002405B3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</w:t>
      </w:r>
      <w:r w:rsidR="0002608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а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включаючи довгострокові вигоди від зниження витрат на енергію, підвищення надійності системи та зменшення експлуатаційних витрат.</w:t>
      </w:r>
    </w:p>
    <w:p w14:paraId="44C25F30" w14:textId="6680BE50" w:rsidR="00E330B3" w:rsidRPr="001847F7" w:rsidRDefault="00E330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lastRenderedPageBreak/>
        <w:t xml:space="preserve">Оцінка потенціалу енергоефективності є інструментом довгострокового планування підвищення енергоефективності </w:t>
      </w:r>
      <w:r w:rsidR="002405B3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електричних мереж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.</w:t>
      </w:r>
    </w:p>
    <w:p w14:paraId="6FCA84FC" w14:textId="58E5EEB3" w:rsidR="00E330B3" w:rsidRPr="001847F7" w:rsidRDefault="00E330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Оцінка потенціалу енергоефективності розробляється </w:t>
      </w:r>
      <w:r w:rsidR="00C50375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робочою групою  з підготовки оцінки потенціалу енергоефективності електричних мереж</w:t>
      </w: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на основі комплексного аналізу існуючого стану енергоефективності та необхідних заходів для підвищення енергоефективності.</w:t>
      </w:r>
      <w:r w:rsidR="005B1BBF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</w:p>
    <w:p w14:paraId="39B3D6FC" w14:textId="0879FDAC" w:rsidR="00E330B3" w:rsidRPr="001847F7" w:rsidRDefault="00E330B3" w:rsidP="00964551">
      <w:pPr>
        <w:pStyle w:val="a9"/>
        <w:numPr>
          <w:ilvl w:val="0"/>
          <w:numId w:val="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Розроблення оцінки потенціалу енергоефективності проводиться з </w:t>
      </w:r>
      <w:r w:rsidR="003741F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дотриманням вимог Методики.</w:t>
      </w:r>
    </w:p>
    <w:p w14:paraId="434B4BCD" w14:textId="22658B50" w:rsidR="00E330B3" w:rsidRPr="001847F7" w:rsidRDefault="005B1BBF" w:rsidP="0096455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9</w:t>
      </w:r>
      <w:r w:rsidR="00E330B3"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. Оцінка потенціалу енергоефективності розробляється на період 5 років.</w:t>
      </w:r>
    </w:p>
    <w:p w14:paraId="23DDD7A2" w14:textId="2D2CB668" w:rsidR="00F47469" w:rsidRDefault="00E330B3" w:rsidP="0096455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1847F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Розроблення наступної оцінки енергоефективності розпочинається не пізніше ніж за 20 місяців до дня завершення періоду дії чинної оцінки.</w:t>
      </w:r>
    </w:p>
    <w:p w14:paraId="6E750093" w14:textId="77777777" w:rsidR="005A1DC7" w:rsidRPr="001847F7" w:rsidRDefault="005A1DC7" w:rsidP="005A1DC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</w:p>
    <w:p w14:paraId="0C02FA8C" w14:textId="360C36FC" w:rsidR="00F47469" w:rsidRPr="00013E57" w:rsidRDefault="00BB76CD" w:rsidP="004C28AC">
      <w:pPr>
        <w:pStyle w:val="a9"/>
        <w:numPr>
          <w:ilvl w:val="0"/>
          <w:numId w:val="1"/>
        </w:numPr>
        <w:ind w:left="1077"/>
        <w:contextualSpacing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Збір даних</w:t>
      </w:r>
    </w:p>
    <w:p w14:paraId="556C83FB" w14:textId="77777777" w:rsidR="00EF5BCE" w:rsidRPr="00013E57" w:rsidRDefault="00EF5BCE" w:rsidP="00964551">
      <w:pPr>
        <w:pStyle w:val="a9"/>
        <w:numPr>
          <w:ilvl w:val="0"/>
          <w:numId w:val="6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Етап збору даних здійснюється з метою накопичення необхідної для розроблення оцінки потенціалу енергоефективності інформації у достатньому обсязі та належної якості.</w:t>
      </w:r>
    </w:p>
    <w:p w14:paraId="3F10283F" w14:textId="6768424A" w:rsidR="00EF5BCE" w:rsidRPr="00013E57" w:rsidRDefault="00EF5BCE" w:rsidP="00964551">
      <w:pPr>
        <w:pStyle w:val="a9"/>
        <w:numPr>
          <w:ilvl w:val="0"/>
          <w:numId w:val="6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Збір даних здійснюється шляхом складення </w:t>
      </w:r>
      <w:r w:rsidR="005B1BBF"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робочою групою </w:t>
      </w: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переліку необхідних даних, визначення джерел їх отримання</w:t>
      </w:r>
      <w:r w:rsidR="005B1BBF"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призначення відповідальних</w:t>
      </w:r>
      <w:r w:rsidR="003741F1"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(зі складу робочої групи)</w:t>
      </w:r>
      <w:r w:rsidR="005B1BBF"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за отримання даних, зазначених в переліку,</w:t>
      </w: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та направлення запитів.</w:t>
      </w:r>
    </w:p>
    <w:p w14:paraId="69E4E096" w14:textId="2ECEA630" w:rsidR="00EF5BCE" w:rsidRPr="00013E57" w:rsidRDefault="00EF5BCE" w:rsidP="00964551">
      <w:pPr>
        <w:pStyle w:val="a9"/>
        <w:numPr>
          <w:ilvl w:val="0"/>
          <w:numId w:val="6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За результатами етапу збору внутрішніх та вихідних даних має бути забезпечено збір інформації щодо:</w:t>
      </w:r>
    </w:p>
    <w:p w14:paraId="0C88C352" w14:textId="14F5544C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стратегічних документів загальнодержавного рівня, зокрема, Енергетичної стратегії України, Національного плану дій з енергоефективності, Концепції впровадження «розумних мереж» в Україні та Плану заходів щодо реалізації Концепції впровадження «розумних мереж» в Україні, які безпосередньо або опосередковано стосуються питань енергоефективності в системі розподілу електричної енергії;</w:t>
      </w:r>
    </w:p>
    <w:p w14:paraId="75B9D8AF" w14:textId="77777777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сценаріїв розвитку економіки (базовий, оптимістичний та песимістичний);</w:t>
      </w:r>
    </w:p>
    <w:p w14:paraId="75BA9EBE" w14:textId="0DCF9039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структури споживання електроенергії та її розвитку;</w:t>
      </w:r>
    </w:p>
    <w:p w14:paraId="1368D1E4" w14:textId="77777777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розвитку та інтеграції енергетичних ринків;</w:t>
      </w:r>
    </w:p>
    <w:p w14:paraId="3748DCD7" w14:textId="01BEF59C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плану розвитку  системи розподілу електричної енергії;</w:t>
      </w:r>
    </w:p>
    <w:p w14:paraId="014CE2C0" w14:textId="207C534C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проєктів з розвитку генеруючих потужностей електроенергії, які реалізуються або заплановані до реалізації;</w:t>
      </w:r>
    </w:p>
    <w:p w14:paraId="7DA38D87" w14:textId="5C944DD2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діючих цін/тарифів на електричну енергію та прогнозів щодо їх змін;</w:t>
      </w:r>
    </w:p>
    <w:p w14:paraId="06797393" w14:textId="5E4F6C9C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планів щодо виводу генеруючих потужностей електроенергії з експлуатації (консервація, демонтаж);</w:t>
      </w:r>
    </w:p>
    <w:p w14:paraId="7C539342" w14:textId="77777777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планів (прогнозів) щодо застосування заходів управління попитом;</w:t>
      </w:r>
    </w:p>
    <w:p w14:paraId="2D454868" w14:textId="77A19CB7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проєктів з розвитку  системи розподілу електричної енергії, які реалізуються або заплановані до реалізації;</w:t>
      </w:r>
    </w:p>
    <w:p w14:paraId="55F79A51" w14:textId="1BBF99CF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потреб щодо резервів для забезпечення операційної безпеки  системи розподілу електричної енергії;</w:t>
      </w:r>
    </w:p>
    <w:p w14:paraId="5CB2DFC7" w14:textId="28068426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власних припущень (оцінок) щодо можливих змін прогнозних балансів потужності та електричної енергії ОЕС України;</w:t>
      </w:r>
    </w:p>
    <w:p w14:paraId="553FB101" w14:textId="77777777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планів та заходів, які будуть розроблені щодо відновлення функціонування ОЕС України з дня завершення бойових дій (припинення можливості бойових дій) або тимчасової окупації відповідних територій;</w:t>
      </w:r>
    </w:p>
    <w:p w14:paraId="077659CB" w14:textId="551DE910" w:rsidR="00EF5BCE" w:rsidRPr="00013E57" w:rsidRDefault="00EF5BCE" w:rsidP="00964551">
      <w:pPr>
        <w:pStyle w:val="a9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зовнішньополітичних та зовнішньоекономічних чинників, які є визначальними для розвитку електроенергетичного сектору;</w:t>
      </w:r>
    </w:p>
    <w:p w14:paraId="625F7FD5" w14:textId="77777777" w:rsidR="00EF5BCE" w:rsidRPr="00013E57" w:rsidRDefault="00EF5BCE" w:rsidP="00964551">
      <w:pPr>
        <w:pStyle w:val="a9"/>
        <w:numPr>
          <w:ilvl w:val="0"/>
          <w:numId w:val="7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іншої інформації, яка необхідна для аналізу даних і розроблення оцінки потенціалу енергоефективності.</w:t>
      </w:r>
    </w:p>
    <w:p w14:paraId="42D7D3CC" w14:textId="17994F16" w:rsidR="00F47469" w:rsidRDefault="00EF5BCE" w:rsidP="00964551">
      <w:pPr>
        <w:pStyle w:val="a9"/>
        <w:numPr>
          <w:ilvl w:val="0"/>
          <w:numId w:val="6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013E57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lastRenderedPageBreak/>
        <w:t>Зібрані дані зберігаються у машиночитному форматі протягом всього періоду дії оцінки потенціалу енергоефективності та використовуються для розроблення наступних оцінок потенціалу енергоефективності.</w:t>
      </w:r>
    </w:p>
    <w:p w14:paraId="06337760" w14:textId="77777777" w:rsidR="004C28AC" w:rsidRPr="004C28AC" w:rsidRDefault="004C28AC" w:rsidP="004C28A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</w:p>
    <w:p w14:paraId="16318E59" w14:textId="1C09596D" w:rsidR="007E1DD6" w:rsidRDefault="00BB76CD" w:rsidP="004C28AC">
      <w:pPr>
        <w:pStyle w:val="a9"/>
        <w:numPr>
          <w:ilvl w:val="0"/>
          <w:numId w:val="1"/>
        </w:numPr>
        <w:ind w:left="1077"/>
        <w:contextualSpacing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А</w:t>
      </w:r>
      <w:r w:rsidRPr="00BB76C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наліз зібраних даних</w:t>
      </w:r>
    </w:p>
    <w:p w14:paraId="2765CFD9" w14:textId="4377A35E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Етап аналізу зібраних даних здійснюється з метою опрацювання та систематизації зібраних внутрішніх та вихідних даних, проведення відповідних розрахунків, їх інтерпретації та формування висновків щодо необхідних заходів з підвищення енергоефективності.</w:t>
      </w:r>
    </w:p>
    <w:p w14:paraId="07E37042" w14:textId="025A7288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Аналіз зібраних даних здійснюється шляхом:</w:t>
      </w:r>
    </w:p>
    <w:p w14:paraId="3B563ED6" w14:textId="640E298A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аналізу рівня реалізації підходу з надання переваги енергоефективності, що визначений в розділі II Методики, при складанні планів розвитку та інвестиційних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76B56DAF" w14:textId="03677E6A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аналізу завершених, поточних і запланованих інвестиційних програм і проєктів (у тому числі за участі міжнародних фінансових організацій), направлених на підвищення енергоефективності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293DB987" w14:textId="308995A3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аналізу поточного рівня технологічних втрат/витрат та інших факторів, що впливають на енергоефективність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та причин їх виникнення;</w:t>
      </w:r>
    </w:p>
    <w:p w14:paraId="400339B3" w14:textId="1FF078D1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аналізу обмежень для реалізації заходів з підвищення енергоефективності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56C950B5" w14:textId="1C09974E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Swot-аналізу підвищення енергоефективності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форма якого наведена у додатку 1 до Методики (далі - Swot-аналіз);</w:t>
      </w:r>
    </w:p>
    <w:p w14:paraId="042A10F1" w14:textId="504941C2" w:rsidR="00C07496" w:rsidRPr="00D940D4" w:rsidRDefault="00C07496" w:rsidP="00964551">
      <w:pPr>
        <w:pStyle w:val="a9"/>
        <w:numPr>
          <w:ilvl w:val="0"/>
          <w:numId w:val="9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аналізу витрат і вигід для вибору найбільш економічно ефективних заходів підвищення енергоефективності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5CD89137" w14:textId="77777777" w:rsidR="00C07496" w:rsidRPr="00D940D4" w:rsidRDefault="00C07496" w:rsidP="00964551">
      <w:pPr>
        <w:pStyle w:val="a9"/>
        <w:numPr>
          <w:ilvl w:val="0"/>
          <w:numId w:val="9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інших видів аналізу (за потреби).</w:t>
      </w:r>
    </w:p>
    <w:p w14:paraId="7B47D680" w14:textId="3A4D2212" w:rsidR="00C07496" w:rsidRPr="00D940D4" w:rsidRDefault="00013E57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Робочою групою</w:t>
      </w:r>
      <w:r w:rsidR="00C07496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додатково здійсню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є</w:t>
      </w:r>
      <w:r w:rsidR="00C07496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ть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ся</w:t>
      </w:r>
      <w:r w:rsidR="00C07496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аналіз зібраних даних щодо показників енергоефективності діяльності керування навантаженням і забезпечення оперативної сумісності, а також доступу до мереж для споживачів (у тому числі активних споживачів) електричної енергії, у тому числі енергетичних кооперативів, приватних домогосподарств, генеруючі установки яких виробляють електричну енергію з відновлюваних (альтернативних) джерел енергії, та/або споживачів (у тому числі активних споживачів), які встановили установки зберігання енергії.</w:t>
      </w:r>
    </w:p>
    <w:p w14:paraId="0DFCDF72" w14:textId="72E68040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При аналізі рівня реалізації підходу з надання переваги енергоефективності при складанні планів розвитку та інвестиційних програм </w:t>
      </w:r>
      <w:r w:rsidR="00013E57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зазначається рівень виконання даного підходу («повний», «частковий», «відсутній») з посиланням на відповідні заходи з підвищення енергоефективності в даних документах. У разі повної або часткової відсутності виконання вказаного підходу, вказуються причини та фактори, що зумовили повне або часткове невиконання та надаються пропозиції заходів, які необхідні для повного виконання вказаного підходу.</w:t>
      </w:r>
    </w:p>
    <w:p w14:paraId="3914BE1B" w14:textId="2D07339E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При аналізі завершених, поточних і запланованих інвестиційних програм і проєктів (у тому числі за участі міжнародних фінансових організацій), враховуються вартісні показники, що виражаються у мільйонах гривень (за потреби - додатково в тисячах євро) з урахуванням чинних на відповідний період цін/тарифів на електроенергію. При розрахунках відповідних показників вартості у майбутньому враховуються прогнози змін цін/тарифів на електроенергію.</w:t>
      </w:r>
    </w:p>
    <w:p w14:paraId="522FDB02" w14:textId="4A6D6C44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При аналізі поточного рівня технологічних втрат/витрат та інших факторів, що впливають на енергоефективність, враховуються показники втрат/витрат при розподілі електричної енергії та споживання електроенергії, що приводяться до МВт·год. Розрахунки втрат/витрат електричної енергії проводяться, враховуючи, що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розрахунки втрат/витрат електричної енергії при розподілі здійснюються у порядку, визначеному 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lastRenderedPageBreak/>
        <w:t>Законом України «Про ринок електричної енергії» та нормативно-правовими актами, прийнятими на його виконання;</w:t>
      </w:r>
    </w:p>
    <w:p w14:paraId="233F93D1" w14:textId="53C0ABB3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Під час аналізу обмежень для реалізації заходів з підвищення енергоефективності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визначаються:</w:t>
      </w:r>
    </w:p>
    <w:p w14:paraId="59167A30" w14:textId="77777777" w:rsidR="00C07496" w:rsidRPr="00D940D4" w:rsidRDefault="00C07496" w:rsidP="00964551">
      <w:pPr>
        <w:pStyle w:val="a9"/>
        <w:numPr>
          <w:ilvl w:val="0"/>
          <w:numId w:val="11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нормативні та правові обмеження на державному та місцевому рівнях;</w:t>
      </w:r>
    </w:p>
    <w:p w14:paraId="4E5A654B" w14:textId="00327AD3" w:rsidR="00C07496" w:rsidRPr="00D940D4" w:rsidRDefault="00C07496" w:rsidP="00964551">
      <w:pPr>
        <w:pStyle w:val="a9"/>
        <w:numPr>
          <w:ilvl w:val="0"/>
          <w:numId w:val="11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фінансові обмеження та спроможності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7CECD0A0" w14:textId="2A474C8A" w:rsidR="00C07496" w:rsidRPr="00D940D4" w:rsidRDefault="00C07496" w:rsidP="00964551">
      <w:pPr>
        <w:pStyle w:val="a9"/>
        <w:numPr>
          <w:ilvl w:val="0"/>
          <w:numId w:val="11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людські обмеження та спроможності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240C76EC" w14:textId="78D7E8E3" w:rsidR="00C07496" w:rsidRPr="00D940D4" w:rsidRDefault="00C07496" w:rsidP="00964551">
      <w:pPr>
        <w:pStyle w:val="a9"/>
        <w:numPr>
          <w:ilvl w:val="0"/>
          <w:numId w:val="11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матеріально-технічні та ринкові обмеження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.</w:t>
      </w:r>
    </w:p>
    <w:p w14:paraId="0D3B0BB0" w14:textId="73AD45CA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Аналітичний метод Swot-аналізу, використовується для оцінювання внутрішніх (сильні та слабкі сторони) і зовнішніх факторів (можливості та загрози) впливу на підвищення енергоефективності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Товариства 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де:</w:t>
      </w:r>
    </w:p>
    <w:p w14:paraId="2D3C0B26" w14:textId="6A60FCB5" w:rsidR="00C07496" w:rsidRPr="00D940D4" w:rsidRDefault="00C07496" w:rsidP="00964551">
      <w:pPr>
        <w:pStyle w:val="a9"/>
        <w:numPr>
          <w:ilvl w:val="0"/>
          <w:numId w:val="12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сильні сторони - наявні внутрішні позитивні фактори або ресурси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які можуть бути використані для підвищення енергоефективності;</w:t>
      </w:r>
    </w:p>
    <w:p w14:paraId="73846AB9" w14:textId="56E0AB3D" w:rsidR="00C07496" w:rsidRPr="00D940D4" w:rsidRDefault="00C07496" w:rsidP="00964551">
      <w:pPr>
        <w:pStyle w:val="a9"/>
        <w:numPr>
          <w:ilvl w:val="0"/>
          <w:numId w:val="12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слабкі сторони - наявні внутрішні негативні фактори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усунення яких сприятиме підвищенню енергоефективності;</w:t>
      </w:r>
    </w:p>
    <w:p w14:paraId="39FF24B5" w14:textId="28E91AE8" w:rsidR="00C07496" w:rsidRPr="00D940D4" w:rsidRDefault="00C07496" w:rsidP="00964551">
      <w:pPr>
        <w:pStyle w:val="a9"/>
        <w:numPr>
          <w:ilvl w:val="0"/>
          <w:numId w:val="12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можливості - наявні або найбільш ймовірні позитивні фактори зовнішнього впливу, які можна використати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Товариством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для підвищення енергоефективності;</w:t>
      </w:r>
    </w:p>
    <w:p w14:paraId="0C300401" w14:textId="77777777" w:rsidR="00C07496" w:rsidRPr="00D940D4" w:rsidRDefault="00C07496" w:rsidP="00964551">
      <w:pPr>
        <w:pStyle w:val="a9"/>
        <w:numPr>
          <w:ilvl w:val="0"/>
          <w:numId w:val="12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загрози - наявні або найбільш ймовірні негативні фактори зовнішнього впливу, усунення яких сприятиме підвищенню енергоефективності.</w:t>
      </w:r>
    </w:p>
    <w:p w14:paraId="7587B1AF" w14:textId="5421EFE5" w:rsidR="007E1DD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При аналізі витрат/вигід для вибору найбільш економічно ефективних заходів підвищення енергоефективності враховуються всі доступні технології і ресурси, які спрямовані на зменшення використання енергетичних ресурсів. При цьому враховуються категорії пріоритетних заходів для 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що визначені в Методиці.</w:t>
      </w:r>
    </w:p>
    <w:p w14:paraId="48D44347" w14:textId="7A4E5DDE" w:rsidR="00C07496" w:rsidRPr="00D940D4" w:rsidRDefault="00C07496" w:rsidP="0096455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Категорії пріоритетних заходів в оцінці енергоефективності повинні бути направлені на:</w:t>
      </w:r>
    </w:p>
    <w:p w14:paraId="2E61917B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зниження технологічних витрат електроенергії на її розподіл в електричних мережах та комерційних втрат електроенергії;</w:t>
      </w:r>
    </w:p>
    <w:p w14:paraId="7016F79E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впровадження систем управління попитом (demand response management);</w:t>
      </w:r>
    </w:p>
    <w:p w14:paraId="3C2663BB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впровадження систем інтелектуального обліку електроенергії;</w:t>
      </w:r>
    </w:p>
    <w:p w14:paraId="27CCD62D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впровадження елементів «розумних мереж» з урахуванням положень Концепції впровадження «розумних мереж» в Україні та Плану заходів щодо реалізації Концепції впровадження «розумних мереж» в Україні;</w:t>
      </w:r>
    </w:p>
    <w:p w14:paraId="78413CA2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підвищення енергоефективності роботи розподільних електромереж шляхом їх реконфігурації, автоматизації та підвищення рівня середньої напруги;</w:t>
      </w:r>
    </w:p>
    <w:p w14:paraId="79C00D35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підвищення енергоефективності при керуванні навантаженнями і забезпеченні оперативної сумісності;</w:t>
      </w:r>
    </w:p>
    <w:p w14:paraId="57C79BEB" w14:textId="77777777" w:rsidR="00C07496" w:rsidRPr="00D940D4" w:rsidRDefault="00C07496" w:rsidP="00964551">
      <w:pPr>
        <w:pStyle w:val="a9"/>
        <w:numPr>
          <w:ilvl w:val="0"/>
          <w:numId w:val="13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інтеграцію до системи розподілу розподіленої генерації, у тому числі виробників, що здійснюють виробництво електричної енергії з використанням альтернативних джерел енергії та установок із зберігання електроенергії;</w:t>
      </w:r>
    </w:p>
    <w:p w14:paraId="115D4A47" w14:textId="1E74A5D6" w:rsidR="00C07496" w:rsidRPr="00D940D4" w:rsidRDefault="00C07496" w:rsidP="00964551">
      <w:pPr>
        <w:pStyle w:val="a9"/>
        <w:numPr>
          <w:ilvl w:val="0"/>
          <w:numId w:val="13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полегшення доступу до системи розподілу для кінцевих споживачів (наприклад, побутових споживачів).</w:t>
      </w:r>
    </w:p>
    <w:p w14:paraId="464D225B" w14:textId="78765AF1" w:rsidR="00C07496" w:rsidRPr="00D940D4" w:rsidRDefault="00C07496" w:rsidP="00964551">
      <w:pPr>
        <w:pStyle w:val="a9"/>
        <w:numPr>
          <w:ilvl w:val="0"/>
          <w:numId w:val="8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За результатами виконаного аналізу зібраних даних </w:t>
      </w:r>
      <w:r w:rsid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робочою групою </w:t>
      </w:r>
      <w:r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формуються висновки, здійснюється ранжування та визначення пріоритетних заходів з підвищення енергоефективності</w:t>
      </w:r>
      <w:r w:rsidR="00D940D4" w:rsidRPr="00D940D4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.</w:t>
      </w:r>
    </w:p>
    <w:p w14:paraId="4DE598D8" w14:textId="77777777" w:rsidR="00C07496" w:rsidRPr="00C07496" w:rsidRDefault="00C07496" w:rsidP="00C0749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uk-UA"/>
          <w14:ligatures w14:val="none"/>
        </w:rPr>
      </w:pPr>
    </w:p>
    <w:p w14:paraId="326717D8" w14:textId="4A950D60" w:rsidR="00F47469" w:rsidRPr="007E1DD6" w:rsidRDefault="00E330B3" w:rsidP="004C28AC">
      <w:pPr>
        <w:pStyle w:val="a9"/>
        <w:numPr>
          <w:ilvl w:val="0"/>
          <w:numId w:val="1"/>
        </w:numPr>
        <w:ind w:left="1077"/>
        <w:contextualSpacing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Р</w:t>
      </w:r>
      <w:r w:rsidRPr="00E3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 xml:space="preserve">озроблення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О</w:t>
      </w:r>
      <w:r w:rsidRPr="00E330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uk-UA"/>
          <w14:ligatures w14:val="none"/>
        </w:rPr>
        <w:t>цінки та її затвердження</w:t>
      </w:r>
    </w:p>
    <w:p w14:paraId="788917AB" w14:textId="5D632B47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Етап розроблення проєкту оцінки потенціалу енергоефективності здійснюється </w:t>
      </w:r>
      <w:r w:rsidR="00D940D4"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робочою групою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з метою формування оцінки потенціалу енергоефективності та 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lastRenderedPageBreak/>
        <w:t>формування каталогу проєктів з підвищення енергоефективності з графіком їх реалізації та фінансовим планом.</w:t>
      </w:r>
    </w:p>
    <w:p w14:paraId="3E5DF0AF" w14:textId="6D9862E9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Проєкт оцінки потенціалу енергоефективності містить:</w:t>
      </w:r>
    </w:p>
    <w:p w14:paraId="34E74344" w14:textId="21148DC1" w:rsidR="00C07496" w:rsidRPr="00964551" w:rsidRDefault="00C07496" w:rsidP="00964551">
      <w:pPr>
        <w:pStyle w:val="a9"/>
        <w:numPr>
          <w:ilvl w:val="0"/>
          <w:numId w:val="15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інформацію про стан енергоефективності </w:t>
      </w:r>
      <w:r w:rsidR="00D940D4"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;</w:t>
      </w:r>
    </w:p>
    <w:p w14:paraId="270C4B71" w14:textId="77777777" w:rsidR="00C07496" w:rsidRPr="00964551" w:rsidRDefault="00C07496" w:rsidP="00964551">
      <w:pPr>
        <w:pStyle w:val="a9"/>
        <w:numPr>
          <w:ilvl w:val="0"/>
          <w:numId w:val="15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проєкти з підвищення енергоефективності;</w:t>
      </w:r>
    </w:p>
    <w:p w14:paraId="1DB6E952" w14:textId="77777777" w:rsidR="00C07496" w:rsidRPr="00964551" w:rsidRDefault="00C07496" w:rsidP="00964551">
      <w:pPr>
        <w:pStyle w:val="a9"/>
        <w:numPr>
          <w:ilvl w:val="0"/>
          <w:numId w:val="15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очікувані результати;</w:t>
      </w:r>
    </w:p>
    <w:p w14:paraId="0D21BC45" w14:textId="77777777" w:rsidR="00C07496" w:rsidRPr="00964551" w:rsidRDefault="00C07496" w:rsidP="00964551">
      <w:pPr>
        <w:pStyle w:val="a9"/>
        <w:numPr>
          <w:ilvl w:val="0"/>
          <w:numId w:val="15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організацію виконання та фінансування проєктів з підвищення енергоефективності.</w:t>
      </w:r>
    </w:p>
    <w:p w14:paraId="62404F7F" w14:textId="27E5DFD6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Оцінка потенціалу енергоефективності складається відповідно до вимог розділу IV Методики.</w:t>
      </w:r>
    </w:p>
    <w:p w14:paraId="5836B053" w14:textId="7F468B5F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Проєкти з підвищення енергоефективності повинні передбачати капітальні вкладення у покращення енергетичних характеристик об’єктів електроенергетичної інфраструктури, створення та/або енергетичну модернізацію системи розподілу електричної енергії для підвищення енергоефективності (у тому числі розроблення прийнятних для фінансових установ попередніх техніко-економічних обґрунтувань інвестиційних проєктів).</w:t>
      </w:r>
    </w:p>
    <w:p w14:paraId="45173D4A" w14:textId="01DB9597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При розробленні проєктів з підвищення енергоефективності беруться до уваги категорії пріоритетних заходів, що визначені у цьому розділі. Кожен проєкт з підвищення енергоефективності повинен бути віднесений до відповідної категорії пріоритетних заходів.</w:t>
      </w:r>
    </w:p>
    <w:p w14:paraId="27971142" w14:textId="5369073A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При розробленні проєктів з підвищення енергоефективності також беруться до уваги:</w:t>
      </w:r>
    </w:p>
    <w:p w14:paraId="697DCE7E" w14:textId="77777777" w:rsidR="00C07496" w:rsidRPr="00964551" w:rsidRDefault="00C07496" w:rsidP="00964551">
      <w:pPr>
        <w:pStyle w:val="a9"/>
        <w:numPr>
          <w:ilvl w:val="0"/>
          <w:numId w:val="16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поточний технічний стан об’єкта (системи) або групи об’єктів (систем);</w:t>
      </w:r>
    </w:p>
    <w:p w14:paraId="1A67967C" w14:textId="77777777" w:rsidR="00C07496" w:rsidRPr="00964551" w:rsidRDefault="00C07496" w:rsidP="00964551">
      <w:pPr>
        <w:pStyle w:val="a9"/>
        <w:numPr>
          <w:ilvl w:val="0"/>
          <w:numId w:val="16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необхідність запровадження або вдосконалення систем автоматичного енергомоніторингу та управління енергоспоживанням на об’єктах;</w:t>
      </w:r>
    </w:p>
    <w:p w14:paraId="1304DD4E" w14:textId="77777777" w:rsidR="00C07496" w:rsidRPr="00964551" w:rsidRDefault="00C07496" w:rsidP="00964551">
      <w:pPr>
        <w:pStyle w:val="a9"/>
        <w:numPr>
          <w:ilvl w:val="0"/>
          <w:numId w:val="16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витрати на сертифікацію енергоефективності (за потреби), енергетичний аудит, техніко-економічне обґрунтування, проєктування;</w:t>
      </w:r>
    </w:p>
    <w:p w14:paraId="3CAAAD09" w14:textId="77777777" w:rsidR="00C07496" w:rsidRPr="00964551" w:rsidRDefault="00C07496" w:rsidP="00964551">
      <w:pPr>
        <w:pStyle w:val="a9"/>
        <w:numPr>
          <w:ilvl w:val="0"/>
          <w:numId w:val="16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витрати на матеріали, обладнання, роботи та послуги, які необхідні для реалізації проєктів;</w:t>
      </w:r>
    </w:p>
    <w:p w14:paraId="7ABD18D8" w14:textId="77777777" w:rsidR="00C07496" w:rsidRPr="00964551" w:rsidRDefault="00C07496" w:rsidP="00964551">
      <w:pPr>
        <w:pStyle w:val="a9"/>
        <w:numPr>
          <w:ilvl w:val="0"/>
          <w:numId w:val="16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витрати на майбутню експлуатацію та обслуговування об’єкта (системи) або групи об’єктів (систем).</w:t>
      </w:r>
    </w:p>
    <w:p w14:paraId="436F09DC" w14:textId="160E2C4E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До основних очікуваних показників проєктів з підвищення енергоефективності відносяться:</w:t>
      </w:r>
    </w:p>
    <w:p w14:paraId="15DA0C46" w14:textId="77777777" w:rsidR="00C07496" w:rsidRPr="00964551" w:rsidRDefault="00C07496" w:rsidP="00964551">
      <w:pPr>
        <w:pStyle w:val="a9"/>
        <w:numPr>
          <w:ilvl w:val="0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період реалізації проєкту;</w:t>
      </w:r>
    </w:p>
    <w:p w14:paraId="69159A9D" w14:textId="77777777" w:rsidR="00C07496" w:rsidRPr="00964551" w:rsidRDefault="00C07496" w:rsidP="00964551">
      <w:pPr>
        <w:pStyle w:val="a9"/>
        <w:numPr>
          <w:ilvl w:val="0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кількісні показники (обсяги) реалізації проєкту;</w:t>
      </w:r>
    </w:p>
    <w:p w14:paraId="7CD97A48" w14:textId="77777777" w:rsidR="00C07496" w:rsidRPr="00964551" w:rsidRDefault="00C07496" w:rsidP="00964551">
      <w:pPr>
        <w:pStyle w:val="a9"/>
        <w:numPr>
          <w:ilvl w:val="0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обсяг фінансування (капітальні витрати), виражений у мільйонах гривень (з урахуванням податку на додану вартість), додатково - у тисячах євро;</w:t>
      </w:r>
    </w:p>
    <w:p w14:paraId="3E352906" w14:textId="183C88AD" w:rsidR="00C07496" w:rsidRPr="00964551" w:rsidRDefault="00C07496" w:rsidP="00964551">
      <w:pPr>
        <w:pStyle w:val="a9"/>
        <w:numPr>
          <w:ilvl w:val="0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загальний обсяг економії електричної енергії, виражений у МВт·год/рік;</w:t>
      </w:r>
    </w:p>
    <w:p w14:paraId="1873913E" w14:textId="77777777" w:rsidR="00C07496" w:rsidRPr="00964551" w:rsidRDefault="00C07496" w:rsidP="00964551">
      <w:pPr>
        <w:pStyle w:val="a9"/>
        <w:numPr>
          <w:ilvl w:val="0"/>
          <w:numId w:val="17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питомі капітальні витрати, виражені у грн/кВт·год, додатково - у євро/кВт·год.</w:t>
      </w:r>
    </w:p>
    <w:p w14:paraId="2497A4A2" w14:textId="16A67EA6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Питомі капітальні витрати проєкту з підвищення енергоефективності визначаються як відношення обсягу фінансування проєкту до загального обсягу річної економії електричної енергії, та виражаються у грн/кВт·год (євро/кВт·год).</w:t>
      </w:r>
    </w:p>
    <w:p w14:paraId="68939BAA" w14:textId="2C2E2C5C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Детальний опис та очікувані техніко-економічні показники проєктів з підвищення енергоефективності наводяться у додатку до оцінки потенціалу енергоефективності «Каталог проєктів з підвищення енергоефективності» з метою їх представлення банкам, міжнародним фінансовим організаціям та потенційним інвесторам.</w:t>
      </w:r>
    </w:p>
    <w:p w14:paraId="01C7A72C" w14:textId="0E3D43F6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Визначаються можливі шляхи та джерела фінансування проєктів з підвищення енергоефективності, визначаються потенційні партнери (у тому числі міжнародні фінансові організації), розробляються організаційні блок-схеми із зазначенням основних учасників, які забезпечують реалізацію проєктів з підвищення енергоефективності та подальшу ефективну експлуатацію відповідних об’єктів (систем). Потреби у фінансових 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lastRenderedPageBreak/>
        <w:t>ресурсах для реалізації проєктів з підвищення енергоефективності виражаються у мільйонах гривень (додатково - у тисячах євро із зазначенням дати та офіційного валютного курсу, встановленого Національним банком України).</w:t>
      </w:r>
    </w:p>
    <w:p w14:paraId="6364F15D" w14:textId="0BD044B3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Складається орієнтовний календарний план реалізації проєктів з підвищення енергоефективності на період 5 років. Календарний план визначає черговість і строк реалізації проєктів за категоріями та містить інформацію про річні обсяги реалізації таких проєктів.</w:t>
      </w:r>
    </w:p>
    <w:p w14:paraId="328C6756" w14:textId="3A185010" w:rsidR="00C07496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Визначаються кількісні та якісні показники очікуваних результатів від реалізації проєктів з підвищення енергоефективності на кінець відповідного періоду.</w:t>
      </w:r>
    </w:p>
    <w:p w14:paraId="05A29A18" w14:textId="4A820941" w:rsidR="00A51444" w:rsidRPr="00964551" w:rsidRDefault="00C07496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За потреби, до проєкту оцінки потенціалу енергоефективності в якості додатків можуть долучатися інші документи та матеріали, які мають на меті уточнити та/або деталізувати інформацію, яка міститься в проєкті оцінки потенціалу енергоефективності.</w:t>
      </w:r>
    </w:p>
    <w:p w14:paraId="4400049E" w14:textId="4CAAFD08" w:rsidR="005B5132" w:rsidRPr="00964551" w:rsidRDefault="00964551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Зміст та форма оцінки потенціалу енергоефективності має повністю відповідати вимогам розділу 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val="en-US" w:eastAsia="ru-RU" w:bidi="uk-UA"/>
          <w14:ligatures w14:val="none"/>
        </w:rPr>
        <w:t>IV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Методики.</w:t>
      </w:r>
    </w:p>
    <w:p w14:paraId="54E89D3A" w14:textId="4622E119" w:rsidR="005B5132" w:rsidRPr="00964551" w:rsidRDefault="005B5132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Оцінка потенціалу енергоефективності, розроблена робочою групою відповідно до вимог цього П</w:t>
      </w:r>
      <w:r w:rsidR="004A7188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орядку</w:t>
      </w:r>
      <w:r w:rsid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та Методики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, затверджується генеральним директором Товариства, та направляється до Держенергоефективності, Міненерго та НКРЕКП протягом 10 днів з дня її затвердження.</w:t>
      </w:r>
    </w:p>
    <w:p w14:paraId="07646DBB" w14:textId="4C6EDA57" w:rsidR="00A51444" w:rsidRPr="00964551" w:rsidRDefault="005B5132" w:rsidP="00964551">
      <w:pPr>
        <w:pStyle w:val="a9"/>
        <w:numPr>
          <w:ilvl w:val="0"/>
          <w:numId w:val="1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</w:pP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Затверджена оцінка потенціалу енергоефективності оприлюднюється на офіційному вебсайті </w:t>
      </w:r>
      <w:r w:rsid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Товариства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 протягом 15 робочих днів з дня </w:t>
      </w:r>
      <w:r w:rsidR="00597969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 xml:space="preserve">її </w:t>
      </w:r>
      <w:r w:rsidRPr="00964551">
        <w:rPr>
          <w:rFonts w:ascii="Times New Roman" w:eastAsia="Times New Roman" w:hAnsi="Times New Roman" w:cs="Times New Roman"/>
          <w:color w:val="000000"/>
          <w:kern w:val="0"/>
          <w:lang w:eastAsia="ru-RU" w:bidi="uk-UA"/>
          <w14:ligatures w14:val="none"/>
        </w:rPr>
        <w:t>затвердження.</w:t>
      </w:r>
    </w:p>
    <w:p w14:paraId="4B796341" w14:textId="77777777" w:rsidR="00A51444" w:rsidRPr="00964551" w:rsidRDefault="00A51444"/>
    <w:p w14:paraId="099BAFE5" w14:textId="77777777" w:rsidR="00A51444" w:rsidRDefault="00A51444"/>
    <w:p w14:paraId="0278EA57" w14:textId="77777777" w:rsidR="00A51444" w:rsidRDefault="00A51444"/>
    <w:p w14:paraId="10DBBDCC" w14:textId="77777777" w:rsidR="00A51444" w:rsidRDefault="00A51444"/>
    <w:p w14:paraId="62F861D5" w14:textId="77777777" w:rsidR="00A51444" w:rsidRDefault="00A51444"/>
    <w:p w14:paraId="13FB6739" w14:textId="77777777" w:rsidR="00A51444" w:rsidRDefault="00A51444"/>
    <w:p w14:paraId="41621439" w14:textId="77777777" w:rsidR="00A51444" w:rsidRDefault="00A51444"/>
    <w:sectPr w:rsidR="00A5144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4555" w14:textId="77777777" w:rsidR="00853952" w:rsidRDefault="00853952" w:rsidP="00D02945">
      <w:pPr>
        <w:spacing w:after="0" w:line="240" w:lineRule="auto"/>
      </w:pPr>
      <w:r>
        <w:separator/>
      </w:r>
    </w:p>
  </w:endnote>
  <w:endnote w:type="continuationSeparator" w:id="0">
    <w:p w14:paraId="7BCE9102" w14:textId="77777777" w:rsidR="00853952" w:rsidRDefault="00853952" w:rsidP="00D0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621523"/>
      <w:docPartObj>
        <w:docPartGallery w:val="Page Numbers (Bottom of Page)"/>
        <w:docPartUnique/>
      </w:docPartObj>
    </w:sdtPr>
    <w:sdtContent>
      <w:p w14:paraId="495879EB" w14:textId="21E6587E" w:rsidR="00D02945" w:rsidRDefault="00D029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EE358" w14:textId="77777777" w:rsidR="00D02945" w:rsidRDefault="00D029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DB64" w14:textId="77777777" w:rsidR="00853952" w:rsidRDefault="00853952" w:rsidP="00D02945">
      <w:pPr>
        <w:spacing w:after="0" w:line="240" w:lineRule="auto"/>
      </w:pPr>
      <w:r>
        <w:separator/>
      </w:r>
    </w:p>
  </w:footnote>
  <w:footnote w:type="continuationSeparator" w:id="0">
    <w:p w14:paraId="7154A255" w14:textId="77777777" w:rsidR="00853952" w:rsidRDefault="00853952" w:rsidP="00D0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AF2"/>
    <w:multiLevelType w:val="hybridMultilevel"/>
    <w:tmpl w:val="5CF6D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070"/>
    <w:multiLevelType w:val="hybridMultilevel"/>
    <w:tmpl w:val="67E89758"/>
    <w:lvl w:ilvl="0" w:tplc="E848A7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2E0676"/>
    <w:multiLevelType w:val="hybridMultilevel"/>
    <w:tmpl w:val="373C78EE"/>
    <w:lvl w:ilvl="0" w:tplc="B45843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17855"/>
    <w:multiLevelType w:val="hybridMultilevel"/>
    <w:tmpl w:val="D9B0AF3C"/>
    <w:lvl w:ilvl="0" w:tplc="32E26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333F"/>
    <w:multiLevelType w:val="hybridMultilevel"/>
    <w:tmpl w:val="86B2F144"/>
    <w:lvl w:ilvl="0" w:tplc="B45843B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C91516"/>
    <w:multiLevelType w:val="hybridMultilevel"/>
    <w:tmpl w:val="3628FF16"/>
    <w:lvl w:ilvl="0" w:tplc="B45843B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DF2131"/>
    <w:multiLevelType w:val="hybridMultilevel"/>
    <w:tmpl w:val="F956FB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3A2"/>
    <w:multiLevelType w:val="hybridMultilevel"/>
    <w:tmpl w:val="E42C02FC"/>
    <w:lvl w:ilvl="0" w:tplc="B45843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716BC"/>
    <w:multiLevelType w:val="hybridMultilevel"/>
    <w:tmpl w:val="77F8D94A"/>
    <w:lvl w:ilvl="0" w:tplc="20B4D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2C7949"/>
    <w:multiLevelType w:val="hybridMultilevel"/>
    <w:tmpl w:val="6BAC213A"/>
    <w:lvl w:ilvl="0" w:tplc="B45843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B0FFA"/>
    <w:multiLevelType w:val="hybridMultilevel"/>
    <w:tmpl w:val="4BEAE1AC"/>
    <w:lvl w:ilvl="0" w:tplc="EE421F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0A0B"/>
    <w:multiLevelType w:val="hybridMultilevel"/>
    <w:tmpl w:val="0088C9F0"/>
    <w:lvl w:ilvl="0" w:tplc="B45843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730FC3"/>
    <w:multiLevelType w:val="hybridMultilevel"/>
    <w:tmpl w:val="ADD41B6A"/>
    <w:lvl w:ilvl="0" w:tplc="B45843B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9BB287C"/>
    <w:multiLevelType w:val="hybridMultilevel"/>
    <w:tmpl w:val="7E2CD30A"/>
    <w:lvl w:ilvl="0" w:tplc="B45843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C2617"/>
    <w:multiLevelType w:val="hybridMultilevel"/>
    <w:tmpl w:val="CD7A5368"/>
    <w:lvl w:ilvl="0" w:tplc="042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44510"/>
    <w:multiLevelType w:val="hybridMultilevel"/>
    <w:tmpl w:val="7172BE28"/>
    <w:lvl w:ilvl="0" w:tplc="B45843B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E6E3F74"/>
    <w:multiLevelType w:val="hybridMultilevel"/>
    <w:tmpl w:val="3044159E"/>
    <w:lvl w:ilvl="0" w:tplc="B45843B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57380255">
    <w:abstractNumId w:val="3"/>
  </w:num>
  <w:num w:numId="2" w16cid:durableId="1522622988">
    <w:abstractNumId w:val="8"/>
  </w:num>
  <w:num w:numId="3" w16cid:durableId="931353075">
    <w:abstractNumId w:val="6"/>
  </w:num>
  <w:num w:numId="4" w16cid:durableId="1383291581">
    <w:abstractNumId w:val="13"/>
  </w:num>
  <w:num w:numId="5" w16cid:durableId="518737236">
    <w:abstractNumId w:val="10"/>
  </w:num>
  <w:num w:numId="6" w16cid:durableId="199974263">
    <w:abstractNumId w:val="14"/>
  </w:num>
  <w:num w:numId="7" w16cid:durableId="1486314287">
    <w:abstractNumId w:val="11"/>
  </w:num>
  <w:num w:numId="8" w16cid:durableId="2138790600">
    <w:abstractNumId w:val="1"/>
  </w:num>
  <w:num w:numId="9" w16cid:durableId="1679845983">
    <w:abstractNumId w:val="4"/>
  </w:num>
  <w:num w:numId="10" w16cid:durableId="638874839">
    <w:abstractNumId w:val="5"/>
  </w:num>
  <w:num w:numId="11" w16cid:durableId="1015573139">
    <w:abstractNumId w:val="15"/>
  </w:num>
  <w:num w:numId="12" w16cid:durableId="97407520">
    <w:abstractNumId w:val="16"/>
  </w:num>
  <w:num w:numId="13" w16cid:durableId="4285662">
    <w:abstractNumId w:val="12"/>
  </w:num>
  <w:num w:numId="14" w16cid:durableId="1610772718">
    <w:abstractNumId w:val="0"/>
  </w:num>
  <w:num w:numId="15" w16cid:durableId="1756708244">
    <w:abstractNumId w:val="7"/>
  </w:num>
  <w:num w:numId="16" w16cid:durableId="1326589258">
    <w:abstractNumId w:val="9"/>
  </w:num>
  <w:num w:numId="17" w16cid:durableId="157609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4"/>
    <w:rsid w:val="00013E57"/>
    <w:rsid w:val="00026087"/>
    <w:rsid w:val="00170C1A"/>
    <w:rsid w:val="00170EFC"/>
    <w:rsid w:val="001847F7"/>
    <w:rsid w:val="001C4FF5"/>
    <w:rsid w:val="001F5F5D"/>
    <w:rsid w:val="00236ABB"/>
    <w:rsid w:val="002405B3"/>
    <w:rsid w:val="002F1C93"/>
    <w:rsid w:val="003741F1"/>
    <w:rsid w:val="004A7188"/>
    <w:rsid w:val="004C28AC"/>
    <w:rsid w:val="00597969"/>
    <w:rsid w:val="005A1DC7"/>
    <w:rsid w:val="005B1BBF"/>
    <w:rsid w:val="005B5132"/>
    <w:rsid w:val="006074B4"/>
    <w:rsid w:val="00641246"/>
    <w:rsid w:val="007045C1"/>
    <w:rsid w:val="00750308"/>
    <w:rsid w:val="007E1DD6"/>
    <w:rsid w:val="008174AD"/>
    <w:rsid w:val="00853952"/>
    <w:rsid w:val="008B5044"/>
    <w:rsid w:val="00964551"/>
    <w:rsid w:val="00984183"/>
    <w:rsid w:val="009C4234"/>
    <w:rsid w:val="009F46BF"/>
    <w:rsid w:val="00A51444"/>
    <w:rsid w:val="00B61970"/>
    <w:rsid w:val="00BB76CD"/>
    <w:rsid w:val="00C07496"/>
    <w:rsid w:val="00C50375"/>
    <w:rsid w:val="00C55F47"/>
    <w:rsid w:val="00D02945"/>
    <w:rsid w:val="00D433A2"/>
    <w:rsid w:val="00D940D4"/>
    <w:rsid w:val="00DF142C"/>
    <w:rsid w:val="00E330B3"/>
    <w:rsid w:val="00EF5BCE"/>
    <w:rsid w:val="00F47469"/>
    <w:rsid w:val="00F739C7"/>
    <w:rsid w:val="00F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9F6D"/>
  <w15:chartTrackingRefBased/>
  <w15:docId w15:val="{7C7A32A6-E1A8-44A4-92AB-A8309EF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4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4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1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1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44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29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02945"/>
  </w:style>
  <w:style w:type="paragraph" w:styleId="af0">
    <w:name w:val="footer"/>
    <w:basedOn w:val="a"/>
    <w:link w:val="af1"/>
    <w:uiPriority w:val="99"/>
    <w:unhideWhenUsed/>
    <w:rsid w:val="00D029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0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A973-E205-4033-9398-357674A4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</TotalTime>
  <Pages>6</Pages>
  <Words>10182</Words>
  <Characters>5805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Будянський Павло Михайлович</dc:creator>
  <cp:keywords/>
  <dc:description/>
  <cp:lastModifiedBy>Будянський Павло Михайлович</cp:lastModifiedBy>
  <cp:revision>11</cp:revision>
  <cp:lastPrinted>2026-05-15T06:38:00Z</cp:lastPrinted>
  <dcterms:created xsi:type="dcterms:W3CDTF">2026-04-23T13:55:00Z</dcterms:created>
  <dcterms:modified xsi:type="dcterms:W3CDTF">2026-05-20T10:47:00Z</dcterms:modified>
</cp:coreProperties>
</file>